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ED35A" w14:textId="1AAFCAB9" w:rsidR="002A0D63" w:rsidRPr="003236F5" w:rsidRDefault="002A0D63" w:rsidP="002A0D63">
      <w:pPr>
        <w:spacing w:line="235" w:lineRule="auto"/>
        <w:jc w:val="center"/>
        <w:rPr>
          <w:b/>
        </w:rPr>
      </w:pPr>
      <w:bookmarkStart w:id="0" w:name="_GoBack"/>
      <w:bookmarkEnd w:id="0"/>
    </w:p>
    <w:p w14:paraId="79E69F8E" w14:textId="284F4F6E" w:rsidR="00C1794A" w:rsidRPr="00A96E57" w:rsidRDefault="008E27FA" w:rsidP="008E27FA">
      <w:pPr>
        <w:spacing w:line="235" w:lineRule="auto"/>
        <w:jc w:val="center"/>
        <w:rPr>
          <w:b/>
        </w:rPr>
      </w:pPr>
      <w:r>
        <w:rPr>
          <w:b/>
        </w:rPr>
        <w:t xml:space="preserve">CONVOCATORIA AL </w:t>
      </w:r>
      <w:r w:rsidR="002A0D63" w:rsidRPr="003236F5">
        <w:rPr>
          <w:b/>
        </w:rPr>
        <w:t>DÉCIMO PRIMER CURSO PARA INTÉRPRETES Y</w:t>
      </w:r>
      <w:r>
        <w:rPr>
          <w:b/>
        </w:rPr>
        <w:t xml:space="preserve"> </w:t>
      </w:r>
      <w:r w:rsidR="00C1794A">
        <w:rPr>
          <w:b/>
        </w:rPr>
        <w:t>TRADUCTORES DE LENGUAS INDÍGENAS</w:t>
      </w:r>
    </w:p>
    <w:p w14:paraId="1F83F9A2" w14:textId="26589AD6" w:rsidR="00C1794A" w:rsidRPr="00A96E57" w:rsidRDefault="00C1794A" w:rsidP="00C1794A">
      <w:pPr>
        <w:spacing w:line="235" w:lineRule="auto"/>
        <w:ind w:left="160"/>
        <w:jc w:val="center"/>
        <w:rPr>
          <w:b/>
        </w:rPr>
      </w:pPr>
    </w:p>
    <w:p w14:paraId="250C76D2" w14:textId="77777777" w:rsidR="00C1794A" w:rsidRDefault="00C1794A" w:rsidP="00C1794A">
      <w:r w:rsidRPr="002F382E">
        <w:t xml:space="preserve"> </w:t>
      </w:r>
    </w:p>
    <w:p w14:paraId="05A6F326" w14:textId="554B35D7" w:rsidR="008E27FA" w:rsidRDefault="008E27FA" w:rsidP="008E27FA">
      <w:pPr>
        <w:pStyle w:val="Prrafodelista"/>
        <w:numPr>
          <w:ilvl w:val="0"/>
          <w:numId w:val="5"/>
        </w:numPr>
        <w:spacing w:line="235" w:lineRule="auto"/>
        <w:rPr>
          <w:rFonts w:ascii="Arial" w:hAnsi="Arial" w:cs="Arial"/>
          <w:b/>
        </w:rPr>
      </w:pPr>
      <w:r w:rsidRPr="008E27FA">
        <w:rPr>
          <w:rFonts w:ascii="Arial" w:hAnsi="Arial" w:cs="Arial"/>
          <w:b/>
        </w:rPr>
        <w:t xml:space="preserve">Lenguas </w:t>
      </w:r>
      <w:r w:rsidR="00286131">
        <w:rPr>
          <w:rFonts w:ascii="Arial" w:hAnsi="Arial" w:cs="Arial"/>
          <w:b/>
        </w:rPr>
        <w:t>Indígenas c</w:t>
      </w:r>
      <w:r w:rsidRPr="008E27FA">
        <w:rPr>
          <w:rFonts w:ascii="Arial" w:hAnsi="Arial" w:cs="Arial"/>
          <w:b/>
        </w:rPr>
        <w:t>onvocadas</w:t>
      </w:r>
    </w:p>
    <w:p w14:paraId="7ECD4B92" w14:textId="77777777" w:rsidR="008E27FA" w:rsidRDefault="008E27FA" w:rsidP="008E27FA">
      <w:pPr>
        <w:pStyle w:val="Prrafodelista"/>
        <w:spacing w:line="235" w:lineRule="auto"/>
        <w:ind w:left="1000"/>
        <w:jc w:val="center"/>
        <w:rPr>
          <w:rFonts w:ascii="Arial" w:hAnsi="Arial" w:cs="Arial"/>
          <w:b/>
        </w:rPr>
      </w:pPr>
    </w:p>
    <w:p w14:paraId="18441507" w14:textId="70120817" w:rsidR="008E27FA" w:rsidRDefault="008E27FA" w:rsidP="008E27FA">
      <w:pPr>
        <w:pStyle w:val="Prrafodelista"/>
        <w:spacing w:line="235" w:lineRule="auto"/>
        <w:ind w:left="10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N° 1</w:t>
      </w:r>
    </w:p>
    <w:tbl>
      <w:tblPr>
        <w:tblW w:w="8080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6095"/>
      </w:tblGrid>
      <w:tr w:rsidR="00C1794A" w:rsidRPr="00A96E57" w14:paraId="6B9A1F2C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2E41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656E4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LENGUAS INDÍGENAS*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05C85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REGIONES</w:t>
            </w:r>
          </w:p>
        </w:tc>
      </w:tr>
      <w:tr w:rsidR="00C1794A" w:rsidRPr="00A96E57" w14:paraId="79D63FD0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AD86B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D370B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aimara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5875A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Moquegua, Puno, Tacna, Lima</w:t>
            </w:r>
          </w:p>
        </w:tc>
      </w:tr>
      <w:tr w:rsidR="00C1794A" w:rsidRPr="00A96E57" w14:paraId="007D7A80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B10A4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A23A4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awajún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63008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San Martín, Amazonas, Cajamarca</w:t>
            </w:r>
          </w:p>
        </w:tc>
      </w:tr>
      <w:tr w:rsidR="00C1794A" w:rsidRPr="00A96E57" w14:paraId="1E368EC7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140F0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5191F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kakinte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188B6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Junín, Cusco</w:t>
            </w:r>
          </w:p>
        </w:tc>
      </w:tr>
      <w:tr w:rsidR="00C1794A" w:rsidRPr="00A96E57" w14:paraId="07D96F4D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027E9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7D14A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kakataibo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4CDD6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Huánuco, Ucayali</w:t>
            </w:r>
          </w:p>
        </w:tc>
      </w:tr>
      <w:tr w:rsidR="00C1794A" w:rsidRPr="00A96E57" w14:paraId="093FAD1D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F874F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6AD3B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matsigenka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06782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Cusco, Madre de Dios, Ayacucho</w:t>
            </w:r>
          </w:p>
        </w:tc>
      </w:tr>
      <w:tr w:rsidR="00C1794A" w:rsidRPr="00A96E57" w14:paraId="69521B38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0DE91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740E2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quechua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100A2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Ayacucho, Lima (Cajatambo), Lambayeque, Huánuco, Cajamarca, Cusco, Puno, Huancavelica, Apurímac, Ayacucho</w:t>
            </w:r>
          </w:p>
        </w:tc>
      </w:tr>
      <w:tr w:rsidR="00C1794A" w:rsidRPr="00A96E57" w14:paraId="4A4ACC44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B216B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DB2D5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yine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24841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Cusco, Madre de Dios, Ucayali</w:t>
            </w:r>
          </w:p>
        </w:tc>
      </w:tr>
      <w:tr w:rsidR="00C1794A" w:rsidRPr="00A96E57" w14:paraId="50522480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B20B3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23E42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amahuaca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B2B8B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Ucayali, Madre de Dios</w:t>
            </w:r>
          </w:p>
        </w:tc>
      </w:tr>
      <w:tr w:rsidR="00C1794A" w:rsidRPr="00A96E57" w14:paraId="19F88BCF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F1465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E54FC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yanesha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F2FC5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Pasco</w:t>
            </w:r>
          </w:p>
        </w:tc>
      </w:tr>
      <w:tr w:rsidR="00C1794A" w:rsidRPr="00A96E57" w14:paraId="58CD1FD7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845C2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92136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ashaninka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BC04D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Junín, Pasco</w:t>
            </w:r>
          </w:p>
        </w:tc>
      </w:tr>
      <w:tr w:rsidR="00C1794A" w:rsidRPr="00A96E57" w14:paraId="2BEAA508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B5B17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24EFA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asheninka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CD3EA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Ucayali, Junín</w:t>
            </w:r>
          </w:p>
        </w:tc>
      </w:tr>
      <w:tr w:rsidR="00C1794A" w:rsidRPr="00A96E57" w14:paraId="7F475E85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9E278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20922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urarina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53AA4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Loreto</w:t>
            </w:r>
          </w:p>
        </w:tc>
      </w:tr>
      <w:tr w:rsidR="00C1794A" w:rsidRPr="00A96E57" w14:paraId="094F58D4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21650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F00F6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bora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4A7A0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Loreto</w:t>
            </w:r>
          </w:p>
        </w:tc>
      </w:tr>
      <w:tr w:rsidR="00C1794A" w:rsidRPr="00A96E57" w14:paraId="0AE42089" w14:textId="77777777" w:rsidTr="008E27F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F7D3B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40D76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murui-muinanɨ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53737" w14:textId="77777777" w:rsidR="00C1794A" w:rsidRPr="00A96E57" w:rsidRDefault="00C1794A" w:rsidP="001D5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A96E57">
              <w:rPr>
                <w:rFonts w:eastAsia="Times New Roman"/>
                <w:color w:val="auto"/>
                <w:sz w:val="20"/>
                <w:szCs w:val="20"/>
              </w:rPr>
              <w:t>Loreto</w:t>
            </w:r>
          </w:p>
        </w:tc>
      </w:tr>
    </w:tbl>
    <w:p w14:paraId="6CC0DC4B" w14:textId="77777777" w:rsidR="00C1794A" w:rsidRPr="0000574F" w:rsidRDefault="00C1794A" w:rsidP="00C1794A">
      <w:r>
        <w:t xml:space="preserve"> </w:t>
      </w:r>
      <w:r>
        <w:tab/>
      </w:r>
      <w:r w:rsidRPr="00A96E57">
        <w:rPr>
          <w:sz w:val="20"/>
        </w:rPr>
        <w:t>(*) Estas lenguas son convocadas en el marco de las zonas priorizadas por el Estado.</w:t>
      </w:r>
    </w:p>
    <w:p w14:paraId="0089090C" w14:textId="39292113" w:rsidR="00336478" w:rsidRPr="00C1794A" w:rsidRDefault="005F078D" w:rsidP="00C1794A"/>
    <w:p w14:paraId="242CCE94" w14:textId="77777777" w:rsidR="002A0D63" w:rsidRPr="003236F5" w:rsidRDefault="002A0D63">
      <w:pPr>
        <w:rPr>
          <w:lang w:val="es-ES"/>
        </w:rPr>
      </w:pPr>
    </w:p>
    <w:p w14:paraId="65FDD219" w14:textId="77777777" w:rsidR="00363CA6" w:rsidRPr="0089402E" w:rsidRDefault="00363CA6" w:rsidP="00363CA6">
      <w:pPr>
        <w:pStyle w:val="Prrafodelista"/>
        <w:numPr>
          <w:ilvl w:val="0"/>
          <w:numId w:val="5"/>
        </w:numPr>
        <w:spacing w:line="235" w:lineRule="auto"/>
        <w:rPr>
          <w:rFonts w:ascii="Arial" w:hAnsi="Arial" w:cs="Arial"/>
          <w:b/>
        </w:rPr>
      </w:pPr>
      <w:r w:rsidRPr="0089402E">
        <w:rPr>
          <w:rFonts w:ascii="Arial" w:hAnsi="Arial" w:cs="Arial"/>
          <w:b/>
        </w:rPr>
        <w:t>Requisitos y criterios de selección</w:t>
      </w:r>
    </w:p>
    <w:p w14:paraId="11BD0406" w14:textId="39B88A51" w:rsidR="00363CA6" w:rsidRPr="003236F5" w:rsidRDefault="00363CA6" w:rsidP="00C1794A">
      <w:r w:rsidRPr="003236F5">
        <w:t xml:space="preserve">Las personas interesadas en participar del Décimo primer Curso para Intérpretes de Lenguas Indígenas deberán cumplir los siguientes requisitos. </w:t>
      </w:r>
    </w:p>
    <w:p w14:paraId="1B502423" w14:textId="77777777" w:rsidR="00363CA6" w:rsidRPr="003236F5" w:rsidRDefault="00363CA6" w:rsidP="00363CA6">
      <w:pPr>
        <w:ind w:left="280"/>
      </w:pPr>
      <w:r w:rsidRPr="003236F5">
        <w:t xml:space="preserve"> </w:t>
      </w:r>
    </w:p>
    <w:tbl>
      <w:tblPr>
        <w:tblW w:w="8363" w:type="dxa"/>
        <w:tblInd w:w="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6804"/>
      </w:tblGrid>
      <w:tr w:rsidR="00C1794A" w:rsidRPr="00A96E57" w14:paraId="027713AC" w14:textId="77777777" w:rsidTr="008E27FA">
        <w:trPr>
          <w:trHeight w:val="249"/>
        </w:trPr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  <w:vAlign w:val="center"/>
          </w:tcPr>
          <w:p w14:paraId="4B96A500" w14:textId="77777777" w:rsidR="00C1794A" w:rsidRPr="00A96E57" w:rsidRDefault="00C1794A" w:rsidP="001D5537">
            <w:pPr>
              <w:spacing w:line="240" w:lineRule="auto"/>
              <w:jc w:val="center"/>
              <w:rPr>
                <w:b/>
                <w:sz w:val="20"/>
              </w:rPr>
            </w:pPr>
            <w:r w:rsidRPr="00A96E57">
              <w:rPr>
                <w:b/>
                <w:sz w:val="20"/>
              </w:rPr>
              <w:t>CRITERIO</w:t>
            </w:r>
          </w:p>
        </w:tc>
        <w:tc>
          <w:tcPr>
            <w:tcW w:w="68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  <w:vAlign w:val="center"/>
          </w:tcPr>
          <w:p w14:paraId="6D44C644" w14:textId="77777777" w:rsidR="00C1794A" w:rsidRPr="00A96E57" w:rsidRDefault="00C1794A" w:rsidP="001D5537">
            <w:pPr>
              <w:spacing w:line="240" w:lineRule="auto"/>
              <w:jc w:val="center"/>
              <w:rPr>
                <w:b/>
                <w:sz w:val="20"/>
              </w:rPr>
            </w:pPr>
            <w:r w:rsidRPr="00A96E57">
              <w:rPr>
                <w:b/>
                <w:sz w:val="20"/>
              </w:rPr>
              <w:t>REQUISITOS</w:t>
            </w:r>
          </w:p>
        </w:tc>
      </w:tr>
      <w:tr w:rsidR="00C1794A" w:rsidRPr="00A96E57" w14:paraId="46847941" w14:textId="77777777" w:rsidTr="008E27FA">
        <w:trPr>
          <w:trHeight w:val="892"/>
        </w:trPr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2D3A4F6E" w14:textId="77777777" w:rsidR="00C1794A" w:rsidRPr="00A96E57" w:rsidRDefault="00C1794A" w:rsidP="001D5537">
            <w:pPr>
              <w:spacing w:line="240" w:lineRule="auto"/>
              <w:jc w:val="center"/>
              <w:rPr>
                <w:sz w:val="20"/>
              </w:rPr>
            </w:pPr>
            <w:r w:rsidRPr="00A96E57">
              <w:rPr>
                <w:sz w:val="20"/>
              </w:rPr>
              <w:t>Identidad, ciudadanía y comunidad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3105ED4E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>1. Ser ciudadano o ciudadana del Perú.</w:t>
            </w:r>
          </w:p>
          <w:p w14:paraId="4B6D989C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>2. Conocer la cultura de su pueblo o comunidad, así como el funcionamiento básico del Estado.</w:t>
            </w:r>
          </w:p>
        </w:tc>
      </w:tr>
      <w:tr w:rsidR="00C1794A" w:rsidRPr="00A96E57" w14:paraId="760FB1DC" w14:textId="77777777" w:rsidTr="008E27FA">
        <w:trPr>
          <w:trHeight w:val="1074"/>
        </w:trPr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632C919F" w14:textId="77777777" w:rsidR="00C1794A" w:rsidRPr="00A96E57" w:rsidRDefault="00C1794A" w:rsidP="001D5537">
            <w:pPr>
              <w:spacing w:line="240" w:lineRule="auto"/>
              <w:jc w:val="center"/>
              <w:rPr>
                <w:sz w:val="20"/>
              </w:rPr>
            </w:pPr>
            <w:r w:rsidRPr="00A96E57">
              <w:rPr>
                <w:sz w:val="20"/>
              </w:rPr>
              <w:t>Educación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3FDB66E4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>3. De preferencia, contar con experiencia en interpretación o traducción.</w:t>
            </w:r>
          </w:p>
          <w:p w14:paraId="5F070268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>4. Contar con estudios secundarios completos.</w:t>
            </w:r>
          </w:p>
          <w:p w14:paraId="2AF437DC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>5. De preferencia contar con experiencia en manejo informático, uso de computadoras, procesador de textos, Word, Excel, etc.</w:t>
            </w:r>
          </w:p>
        </w:tc>
      </w:tr>
      <w:tr w:rsidR="00C1794A" w:rsidRPr="00A96E57" w14:paraId="6FCA3652" w14:textId="77777777" w:rsidTr="008E27FA">
        <w:trPr>
          <w:trHeight w:val="1361"/>
        </w:trPr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532734F0" w14:textId="77777777" w:rsidR="00C1794A" w:rsidRPr="00A96E57" w:rsidRDefault="00C1794A" w:rsidP="001D5537">
            <w:pPr>
              <w:spacing w:line="240" w:lineRule="auto"/>
              <w:jc w:val="center"/>
              <w:rPr>
                <w:sz w:val="20"/>
              </w:rPr>
            </w:pPr>
            <w:r w:rsidRPr="00A96E57">
              <w:rPr>
                <w:sz w:val="20"/>
              </w:rPr>
              <w:lastRenderedPageBreak/>
              <w:t>Conocimiento de lenguas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2226CA4F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>6. Ser hablante fluido de castellano.</w:t>
            </w:r>
          </w:p>
          <w:p w14:paraId="452BFA7C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>7. Ser hablante fluido de una de las lenguas indígenas convocadas (ver arriba cuadro N°1).</w:t>
            </w:r>
          </w:p>
          <w:p w14:paraId="43355352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 xml:space="preserve">8. Conocer las normas generales de la escritura en su lengua aprobadas por el Ministerio de Educación. </w:t>
            </w:r>
          </w:p>
        </w:tc>
      </w:tr>
      <w:tr w:rsidR="00C1794A" w:rsidRPr="00A96E57" w14:paraId="205B71AB" w14:textId="77777777" w:rsidTr="008E27FA">
        <w:trPr>
          <w:trHeight w:val="700"/>
        </w:trPr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3B92D735" w14:textId="77777777" w:rsidR="00C1794A" w:rsidRPr="00A96E57" w:rsidRDefault="00C1794A" w:rsidP="001D5537">
            <w:pPr>
              <w:spacing w:line="240" w:lineRule="auto"/>
              <w:jc w:val="center"/>
              <w:rPr>
                <w:sz w:val="20"/>
              </w:rPr>
            </w:pPr>
            <w:r w:rsidRPr="00A96E57">
              <w:rPr>
                <w:sz w:val="20"/>
              </w:rPr>
              <w:t>Enfoque de género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0B56E9FE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>9. El Décimo Primer Curso se propone como meta llegar a la paridad de género, es decir, a un 50% de participantes mujeres.</w:t>
            </w:r>
          </w:p>
        </w:tc>
      </w:tr>
      <w:tr w:rsidR="00C1794A" w:rsidRPr="00A96E57" w14:paraId="40858F7B" w14:textId="77777777" w:rsidTr="008E27FA">
        <w:trPr>
          <w:trHeight w:val="656"/>
        </w:trPr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6F247008" w14:textId="77777777" w:rsidR="00C1794A" w:rsidRPr="00A96E57" w:rsidRDefault="00C1794A" w:rsidP="001D5537">
            <w:pPr>
              <w:spacing w:line="240" w:lineRule="auto"/>
              <w:jc w:val="center"/>
              <w:rPr>
                <w:sz w:val="20"/>
              </w:rPr>
            </w:pPr>
            <w:r w:rsidRPr="00A96E57">
              <w:rPr>
                <w:sz w:val="20"/>
              </w:rPr>
              <w:t>Accesibilidad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40" w:type="dxa"/>
              <w:bottom w:w="100" w:type="dxa"/>
              <w:right w:w="40" w:type="dxa"/>
            </w:tcMar>
          </w:tcPr>
          <w:p w14:paraId="63EAC49C" w14:textId="77777777" w:rsidR="00C1794A" w:rsidRPr="00A96E57" w:rsidRDefault="00C1794A" w:rsidP="001D5537">
            <w:pPr>
              <w:spacing w:line="240" w:lineRule="auto"/>
              <w:ind w:left="102"/>
              <w:rPr>
                <w:sz w:val="20"/>
              </w:rPr>
            </w:pPr>
            <w:r w:rsidRPr="00A96E57">
              <w:rPr>
                <w:sz w:val="20"/>
              </w:rPr>
              <w:t xml:space="preserve">10. Ubicación o lugar de residencia, que le permita atender demandas de traducción o interpretación con celeridad. </w:t>
            </w:r>
          </w:p>
        </w:tc>
      </w:tr>
    </w:tbl>
    <w:p w14:paraId="52951901" w14:textId="77777777" w:rsidR="002A0D63" w:rsidRPr="00C1794A" w:rsidRDefault="002A0D63"/>
    <w:p w14:paraId="3CED0A30" w14:textId="77777777" w:rsidR="002A0D63" w:rsidRPr="003236F5" w:rsidRDefault="002A0D63" w:rsidP="002A0D63">
      <w:pPr>
        <w:rPr>
          <w:b/>
        </w:rPr>
      </w:pPr>
    </w:p>
    <w:p w14:paraId="6CACB092" w14:textId="3B0C6701" w:rsidR="00363CA6" w:rsidRPr="0089402E" w:rsidRDefault="00C1794A" w:rsidP="00363CA6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89402E">
        <w:rPr>
          <w:rFonts w:ascii="Arial" w:hAnsi="Arial" w:cs="Arial"/>
          <w:b/>
        </w:rPr>
        <w:t>Cronograma</w:t>
      </w:r>
    </w:p>
    <w:p w14:paraId="37FEC8C6" w14:textId="77777777" w:rsidR="002A0D63" w:rsidRPr="003236F5" w:rsidRDefault="002A0D63" w:rsidP="002A0D63">
      <w:r w:rsidRPr="003236F5">
        <w:t xml:space="preserve">Los plazos y fechas para el </w:t>
      </w:r>
      <w:r w:rsidRPr="003236F5">
        <w:rPr>
          <w:b/>
        </w:rPr>
        <w:t xml:space="preserve">Décimo Primer Curso </w:t>
      </w:r>
      <w:r w:rsidRPr="003236F5">
        <w:t>son los siguientes:</w:t>
      </w:r>
    </w:p>
    <w:p w14:paraId="446937F6" w14:textId="77777777" w:rsidR="002A0D63" w:rsidRPr="003236F5" w:rsidRDefault="002A0D63" w:rsidP="002A0D63">
      <w:pPr>
        <w:spacing w:after="20"/>
      </w:pPr>
      <w:r w:rsidRPr="003236F5">
        <w:t xml:space="preserve"> </w:t>
      </w:r>
    </w:p>
    <w:tbl>
      <w:tblPr>
        <w:tblW w:w="8363" w:type="dxa"/>
        <w:tblInd w:w="4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3"/>
        <w:gridCol w:w="5600"/>
      </w:tblGrid>
      <w:tr w:rsidR="00C1794A" w:rsidRPr="008E27FA" w14:paraId="3ADBA8D3" w14:textId="77777777" w:rsidTr="008E27FA">
        <w:trPr>
          <w:trHeight w:val="1005"/>
        </w:trPr>
        <w:tc>
          <w:tcPr>
            <w:tcW w:w="2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2D9D83FA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20 de agosto</w:t>
            </w:r>
          </w:p>
        </w:tc>
        <w:tc>
          <w:tcPr>
            <w:tcW w:w="56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0EDCD65B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Convocatoria</w:t>
            </w:r>
          </w:p>
          <w:p w14:paraId="49180DF1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  <w:r w:rsidRPr="008E27FA">
              <w:rPr>
                <w:color w:val="auto"/>
                <w:sz w:val="20"/>
              </w:rPr>
              <w:t xml:space="preserve">Lanzamiento de la convocatoria a través de medios de comunicación, página web del Ministerio de Cultura y Direcciones Desconcentradas de Cultura. </w:t>
            </w:r>
          </w:p>
        </w:tc>
      </w:tr>
      <w:tr w:rsidR="00C1794A" w:rsidRPr="008E27FA" w14:paraId="63962912" w14:textId="77777777" w:rsidTr="008E27FA">
        <w:trPr>
          <w:trHeight w:val="379"/>
        </w:trPr>
        <w:tc>
          <w:tcPr>
            <w:tcW w:w="27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17E86B11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Desde el 20 de agosto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4A60186F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  <w:r w:rsidRPr="008E27FA">
              <w:rPr>
                <w:color w:val="auto"/>
                <w:sz w:val="20"/>
              </w:rPr>
              <w:t>Recepción de las hojas de vida de los postulantes.</w:t>
            </w:r>
          </w:p>
        </w:tc>
      </w:tr>
      <w:tr w:rsidR="00C1794A" w:rsidRPr="008E27FA" w14:paraId="2F5CB26A" w14:textId="77777777" w:rsidTr="008E27FA">
        <w:trPr>
          <w:trHeight w:val="151"/>
        </w:trPr>
        <w:tc>
          <w:tcPr>
            <w:tcW w:w="27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12B29413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Hasta el 13 de setiembre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67E74C08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  <w:r w:rsidRPr="008E27FA">
              <w:rPr>
                <w:color w:val="auto"/>
                <w:sz w:val="20"/>
              </w:rPr>
              <w:t>Cierre de recepción de expedientes.</w:t>
            </w:r>
          </w:p>
        </w:tc>
      </w:tr>
      <w:tr w:rsidR="00C1794A" w:rsidRPr="008E27FA" w14:paraId="6E6A28C2" w14:textId="77777777" w:rsidTr="008E27FA">
        <w:trPr>
          <w:trHeight w:val="1341"/>
        </w:trPr>
        <w:tc>
          <w:tcPr>
            <w:tcW w:w="27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12354861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15 y 16 de setiembre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212669BD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Preselección</w:t>
            </w:r>
          </w:p>
          <w:p w14:paraId="59B3297C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  <w:r w:rsidRPr="008E27FA">
              <w:rPr>
                <w:color w:val="auto"/>
                <w:sz w:val="20"/>
              </w:rPr>
              <w:t>Publicación, en redes sociales y página web del Ministerio de Cultura, de la lista de participantes preseleccionados para participar en el Décimo Primer Curso para Traductores e Intérpretes de Lenguas Indígenas.</w:t>
            </w:r>
          </w:p>
          <w:p w14:paraId="494B723B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</w:tr>
      <w:tr w:rsidR="00C1794A" w:rsidRPr="008E27FA" w14:paraId="2DF8B26B" w14:textId="77777777" w:rsidTr="008E27FA">
        <w:trPr>
          <w:trHeight w:val="768"/>
        </w:trPr>
        <w:tc>
          <w:tcPr>
            <w:tcW w:w="27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79AA86D2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24 al 26 de setiembre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1E03194E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Entrevistas de evaluación</w:t>
            </w:r>
          </w:p>
          <w:p w14:paraId="77EE9847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  <w:r w:rsidRPr="008E27FA">
              <w:rPr>
                <w:color w:val="auto"/>
                <w:sz w:val="20"/>
              </w:rPr>
              <w:t>Se realizarán en las Direcciones Desconcentradas de Cultura de las regiones donde residan los postulantes.</w:t>
            </w:r>
          </w:p>
          <w:p w14:paraId="1754DEEC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C1794A" w:rsidRPr="008E27FA" w14:paraId="4198F2AE" w14:textId="77777777" w:rsidTr="008E27FA">
        <w:trPr>
          <w:trHeight w:val="1253"/>
        </w:trPr>
        <w:tc>
          <w:tcPr>
            <w:tcW w:w="27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38E16C91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1 de octubre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3B0ECB45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Resultados finales</w:t>
            </w:r>
            <w:r w:rsidRPr="008E27FA">
              <w:rPr>
                <w:b/>
                <w:color w:val="auto"/>
                <w:sz w:val="20"/>
              </w:rPr>
              <w:br/>
            </w:r>
            <w:r w:rsidRPr="008E27FA">
              <w:rPr>
                <w:color w:val="auto"/>
                <w:sz w:val="20"/>
              </w:rPr>
              <w:t>Publicación, en redes sociales y página web del Ministerio de Cultura, de la lista de participantes seleccionados para participar en el Décimo Primer Curso para Intérpretes de Lenguas indígenas.</w:t>
            </w:r>
          </w:p>
        </w:tc>
      </w:tr>
      <w:tr w:rsidR="00C1794A" w:rsidRPr="008E27FA" w14:paraId="2FD6C2A3" w14:textId="77777777" w:rsidTr="008E27FA">
        <w:trPr>
          <w:trHeight w:val="460"/>
        </w:trPr>
        <w:tc>
          <w:tcPr>
            <w:tcW w:w="27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23A2C42C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Lunes 15 de octubre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364C7FFC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Inicio</w:t>
            </w:r>
            <w:r w:rsidRPr="008E27FA">
              <w:rPr>
                <w:color w:val="auto"/>
                <w:sz w:val="20"/>
              </w:rPr>
              <w:t xml:space="preserve"> del Décimo Primer Curso para Intérpretes y Traductores de Lenguas Indígenas.</w:t>
            </w:r>
            <w:r w:rsidRPr="008E27FA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C1794A" w:rsidRPr="008E27FA" w14:paraId="2436BB9E" w14:textId="77777777" w:rsidTr="008E27FA">
        <w:trPr>
          <w:trHeight w:val="97"/>
        </w:trPr>
        <w:tc>
          <w:tcPr>
            <w:tcW w:w="27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5CF5A3C1" w14:textId="77777777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Jueves 3 de noviembre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56981A53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Fin</w:t>
            </w:r>
            <w:r w:rsidRPr="008E27FA">
              <w:rPr>
                <w:color w:val="auto"/>
                <w:sz w:val="20"/>
              </w:rPr>
              <w:t xml:space="preserve"> del Décimo Primer Curso para Intérpretes y Traductores de Lenguas Indígenas.</w:t>
            </w:r>
          </w:p>
        </w:tc>
      </w:tr>
      <w:tr w:rsidR="00C1794A" w:rsidRPr="008E27FA" w14:paraId="17F9C68D" w14:textId="77777777" w:rsidTr="008E27FA">
        <w:trPr>
          <w:trHeight w:val="740"/>
        </w:trPr>
        <w:tc>
          <w:tcPr>
            <w:tcW w:w="27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62C87197" w14:textId="185D82BB" w:rsidR="00C1794A" w:rsidRPr="008E27FA" w:rsidRDefault="00C1794A" w:rsidP="001D5537">
            <w:pPr>
              <w:spacing w:line="240" w:lineRule="auto"/>
              <w:rPr>
                <w:b/>
                <w:color w:val="auto"/>
                <w:sz w:val="20"/>
              </w:rPr>
            </w:pPr>
            <w:r w:rsidRPr="008E27FA">
              <w:rPr>
                <w:b/>
                <w:color w:val="auto"/>
                <w:sz w:val="20"/>
              </w:rPr>
              <w:t>Noviembre-diciembre de 2018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20" w:type="dxa"/>
              <w:bottom w:w="100" w:type="dxa"/>
              <w:right w:w="40" w:type="dxa"/>
            </w:tcMar>
            <w:vAlign w:val="center"/>
          </w:tcPr>
          <w:p w14:paraId="3EBA9BDA" w14:textId="77777777" w:rsidR="00C1794A" w:rsidRPr="008E27FA" w:rsidRDefault="00C1794A" w:rsidP="001D5537">
            <w:pPr>
              <w:spacing w:line="240" w:lineRule="auto"/>
              <w:rPr>
                <w:color w:val="auto"/>
                <w:sz w:val="20"/>
              </w:rPr>
            </w:pPr>
            <w:r w:rsidRPr="008E27FA">
              <w:rPr>
                <w:color w:val="auto"/>
                <w:sz w:val="20"/>
              </w:rPr>
              <w:t>Etapa de pasantías.</w:t>
            </w:r>
          </w:p>
        </w:tc>
      </w:tr>
    </w:tbl>
    <w:p w14:paraId="2F21F25B" w14:textId="77777777" w:rsidR="002A0D63" w:rsidRPr="003236F5" w:rsidRDefault="002A0D63" w:rsidP="002A0D63">
      <w:r w:rsidRPr="003236F5">
        <w:lastRenderedPageBreak/>
        <w:t xml:space="preserve"> </w:t>
      </w:r>
    </w:p>
    <w:p w14:paraId="445B5AFC" w14:textId="77777777" w:rsidR="002A0D63" w:rsidRPr="003236F5" w:rsidRDefault="002A0D63" w:rsidP="002A0D63">
      <w:r w:rsidRPr="003236F5">
        <w:t xml:space="preserve"> </w:t>
      </w:r>
    </w:p>
    <w:p w14:paraId="7FBE4BC9" w14:textId="77777777" w:rsidR="002A0D63" w:rsidRPr="003236F5" w:rsidRDefault="002A0D63" w:rsidP="002A0D63">
      <w:pPr>
        <w:jc w:val="both"/>
      </w:pPr>
      <w:r w:rsidRPr="003236F5">
        <w:t xml:space="preserve">El Ministerio de Cultura podrá ampliar los plazos de alguna de las etapas del proceso, de acuerdo al cumplimiento de las metas establecidas, previa coordinación con las regiones y sectores aliados. </w:t>
      </w:r>
    </w:p>
    <w:p w14:paraId="426E60D8" w14:textId="77777777" w:rsidR="002A0D63" w:rsidRPr="003236F5" w:rsidRDefault="002A0D63" w:rsidP="002A0D63">
      <w:pPr>
        <w:jc w:val="both"/>
      </w:pPr>
    </w:p>
    <w:p w14:paraId="1F861E01" w14:textId="48DCCFD8" w:rsidR="00363CA6" w:rsidRPr="0089402E" w:rsidRDefault="008E27FA" w:rsidP="00363C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89402E">
        <w:rPr>
          <w:rFonts w:ascii="Arial" w:hAnsi="Arial" w:cs="Arial"/>
          <w:b/>
        </w:rPr>
        <w:t>Inscripción</w:t>
      </w:r>
    </w:p>
    <w:p w14:paraId="7739D68A" w14:textId="77777777" w:rsidR="002A0D63" w:rsidRPr="003236F5" w:rsidRDefault="002A0D63" w:rsidP="002A0D63">
      <w:pPr>
        <w:jc w:val="both"/>
      </w:pPr>
      <w:r w:rsidRPr="003236F5">
        <w:t>Para este curso los participantes podrán inscribirse a través de las siguientes modalidades:</w:t>
      </w:r>
    </w:p>
    <w:p w14:paraId="00E86599" w14:textId="77777777" w:rsidR="002A0D63" w:rsidRPr="003236F5" w:rsidRDefault="002A0D63" w:rsidP="002A0D63">
      <w:pPr>
        <w:ind w:left="1360"/>
        <w:jc w:val="both"/>
        <w:rPr>
          <w:b/>
        </w:rPr>
      </w:pPr>
      <w:r w:rsidRPr="003236F5">
        <w:rPr>
          <w:b/>
        </w:rPr>
        <w:t xml:space="preserve"> </w:t>
      </w:r>
    </w:p>
    <w:p w14:paraId="6E8E3CA0" w14:textId="77777777" w:rsidR="002A0D63" w:rsidRPr="003236F5" w:rsidRDefault="002A0D63" w:rsidP="002A0D63">
      <w:pPr>
        <w:pStyle w:val="Prrafodelista"/>
        <w:numPr>
          <w:ilvl w:val="0"/>
          <w:numId w:val="1"/>
        </w:numPr>
        <w:shd w:val="clear" w:color="auto" w:fill="FFFFFF"/>
        <w:spacing w:after="0" w:line="305" w:lineRule="atLeast"/>
        <w:jc w:val="both"/>
        <w:textAlignment w:val="baseline"/>
        <w:rPr>
          <w:rFonts w:ascii="Arial" w:eastAsia="Times New Roman" w:hAnsi="Arial" w:cs="Arial"/>
          <w:b/>
          <w:lang w:eastAsia="es-PE"/>
        </w:rPr>
      </w:pPr>
      <w:r w:rsidRPr="003236F5">
        <w:rPr>
          <w:rFonts w:ascii="Arial" w:eastAsia="Times New Roman" w:hAnsi="Arial" w:cs="Arial"/>
          <w:b/>
          <w:lang w:eastAsia="es-PE"/>
        </w:rPr>
        <w:t>Modalidad virtual:</w:t>
      </w:r>
    </w:p>
    <w:p w14:paraId="61B8C01C" w14:textId="77777777" w:rsidR="002A0D63" w:rsidRPr="003236F5" w:rsidRDefault="002A0D63" w:rsidP="002A0D63">
      <w:pPr>
        <w:pStyle w:val="Prrafodelista"/>
        <w:numPr>
          <w:ilvl w:val="0"/>
          <w:numId w:val="2"/>
        </w:numPr>
        <w:shd w:val="clear" w:color="auto" w:fill="FFFFFF"/>
        <w:spacing w:after="0" w:line="305" w:lineRule="atLeast"/>
        <w:jc w:val="both"/>
        <w:textAlignment w:val="baseline"/>
        <w:rPr>
          <w:rFonts w:ascii="Arial" w:eastAsia="Times New Roman" w:hAnsi="Arial" w:cs="Arial"/>
          <w:color w:val="FF0000"/>
          <w:lang w:eastAsia="es-PE"/>
        </w:rPr>
      </w:pPr>
      <w:r w:rsidRPr="003236F5">
        <w:rPr>
          <w:rFonts w:ascii="Arial" w:eastAsia="Times New Roman" w:hAnsi="Arial" w:cs="Arial"/>
          <w:lang w:eastAsia="es-PE"/>
        </w:rPr>
        <w:t xml:space="preserve">Llenar el siguiente formulario: </w:t>
      </w:r>
      <w:r w:rsidRPr="003236F5">
        <w:rPr>
          <w:rStyle w:val="Hipervnculo"/>
          <w:rFonts w:ascii="Arial" w:eastAsia="Times New Roman" w:hAnsi="Arial" w:cs="Arial"/>
          <w:lang w:eastAsia="es-PE"/>
        </w:rPr>
        <w:t>https://goo.gl/forms/NhduRLN8ya2JhTpJ2</w:t>
      </w:r>
    </w:p>
    <w:p w14:paraId="07AECC77" w14:textId="77777777" w:rsidR="002A0D63" w:rsidRPr="003236F5" w:rsidRDefault="002A0D63" w:rsidP="002A0D63">
      <w:pPr>
        <w:pStyle w:val="Prrafodelista"/>
        <w:numPr>
          <w:ilvl w:val="0"/>
          <w:numId w:val="3"/>
        </w:numPr>
        <w:shd w:val="clear" w:color="auto" w:fill="FFFFFF"/>
        <w:spacing w:after="0" w:line="305" w:lineRule="atLeast"/>
        <w:jc w:val="both"/>
        <w:textAlignment w:val="baseline"/>
        <w:rPr>
          <w:rFonts w:ascii="Arial" w:eastAsia="Times New Roman" w:hAnsi="Arial" w:cs="Arial"/>
          <w:b/>
          <w:lang w:eastAsia="es-PE"/>
        </w:rPr>
      </w:pPr>
      <w:r w:rsidRPr="003236F5">
        <w:rPr>
          <w:rFonts w:ascii="Arial" w:eastAsia="Times New Roman" w:hAnsi="Arial" w:cs="Arial"/>
          <w:lang w:eastAsia="es-PE"/>
        </w:rPr>
        <w:t xml:space="preserve">El formulario posee preguntas obligatorias, las cuales tendrán un asterisco en la parte superior, ejemplo: </w:t>
      </w:r>
      <w:r w:rsidRPr="003236F5">
        <w:rPr>
          <w:rFonts w:ascii="Arial" w:eastAsia="Times New Roman" w:hAnsi="Arial" w:cs="Arial"/>
          <w:b/>
          <w:lang w:eastAsia="es-PE"/>
        </w:rPr>
        <w:t>Nombres*</w:t>
      </w:r>
    </w:p>
    <w:p w14:paraId="57E69FFC" w14:textId="77777777" w:rsidR="002A0D63" w:rsidRPr="003236F5" w:rsidRDefault="002A0D63" w:rsidP="002A0D63">
      <w:pPr>
        <w:pStyle w:val="Prrafodelista"/>
        <w:numPr>
          <w:ilvl w:val="0"/>
          <w:numId w:val="2"/>
        </w:numPr>
        <w:shd w:val="clear" w:color="auto" w:fill="FFFFFF"/>
        <w:spacing w:line="305" w:lineRule="atLeast"/>
        <w:jc w:val="both"/>
        <w:textAlignment w:val="baseline"/>
        <w:rPr>
          <w:rFonts w:ascii="Arial" w:eastAsia="Times New Roman" w:hAnsi="Arial" w:cs="Arial"/>
        </w:rPr>
      </w:pPr>
      <w:r w:rsidRPr="003236F5">
        <w:rPr>
          <w:rFonts w:ascii="Arial" w:eastAsia="Times New Roman" w:hAnsi="Arial" w:cs="Arial"/>
        </w:rPr>
        <w:t xml:space="preserve">Al finalizar el formulario, el postulante deberá enviar al correo </w:t>
      </w:r>
      <w:r w:rsidRPr="003236F5">
        <w:rPr>
          <w:rStyle w:val="Hipervnculo"/>
          <w:rFonts w:ascii="Arial" w:eastAsia="Times New Roman" w:hAnsi="Arial" w:cs="Arial"/>
          <w:lang w:eastAsia="es-PE"/>
        </w:rPr>
        <w:t>curso.interpretes.indigenas@gmail.com</w:t>
      </w:r>
      <w:r w:rsidRPr="003236F5">
        <w:rPr>
          <w:rFonts w:ascii="Arial" w:eastAsia="Times New Roman" w:hAnsi="Arial" w:cs="Arial"/>
        </w:rPr>
        <w:t xml:space="preserve"> su DNI, certificados y/o constancias de estudios, certificados y/o constancias laborales (que considere relevantes), que acrediten lo mencionado en el formulario.</w:t>
      </w:r>
    </w:p>
    <w:p w14:paraId="45946D93" w14:textId="6C268F74" w:rsidR="002A0D63" w:rsidRPr="00286131" w:rsidRDefault="00247B60" w:rsidP="002A0D63">
      <w:pPr>
        <w:pStyle w:val="Prrafodelista"/>
        <w:numPr>
          <w:ilvl w:val="0"/>
          <w:numId w:val="2"/>
        </w:numPr>
        <w:shd w:val="clear" w:color="auto" w:fill="FFFFFF"/>
        <w:spacing w:after="0" w:line="305" w:lineRule="atLeast"/>
        <w:jc w:val="both"/>
        <w:textAlignment w:val="baseline"/>
        <w:rPr>
          <w:rFonts w:ascii="Arial" w:eastAsia="Times New Roman" w:hAnsi="Arial" w:cs="Arial"/>
          <w:smallCaps/>
          <w:lang w:eastAsia="es-PE"/>
        </w:rPr>
      </w:pPr>
      <w:r w:rsidRPr="0089402E">
        <w:rPr>
          <w:rFonts w:ascii="Arial" w:eastAsia="Times New Roman" w:hAnsi="Arial" w:cs="Arial"/>
          <w:b/>
          <w:smallCaps/>
          <w:lang w:eastAsia="es-PE"/>
        </w:rPr>
        <w:t xml:space="preserve">SI EL POSTULANTE NO ENVÍA LOS DOCUMENTOS DENTRO DE LAS </w:t>
      </w:r>
      <w:r w:rsidR="00937BC3">
        <w:rPr>
          <w:rFonts w:ascii="Arial" w:eastAsia="Times New Roman" w:hAnsi="Arial" w:cs="Arial"/>
          <w:b/>
          <w:smallCaps/>
          <w:lang w:eastAsia="es-PE"/>
        </w:rPr>
        <w:t>48</w:t>
      </w:r>
      <w:r w:rsidRPr="0089402E">
        <w:rPr>
          <w:rFonts w:ascii="Arial" w:eastAsia="Times New Roman" w:hAnsi="Arial" w:cs="Arial"/>
          <w:b/>
          <w:smallCaps/>
          <w:lang w:eastAsia="es-PE"/>
        </w:rPr>
        <w:t xml:space="preserve"> HORAS DE HABER LLENADO EL FORMULARIO, NO SE COMPLETARÁ LA INSCRIPCIÓN DE SU POSTULACIÓN</w:t>
      </w:r>
      <w:r w:rsidR="00286131" w:rsidRPr="00286131">
        <w:rPr>
          <w:rFonts w:ascii="Arial" w:eastAsia="Times New Roman" w:hAnsi="Arial" w:cs="Arial"/>
          <w:b/>
          <w:smallCaps/>
          <w:lang w:eastAsia="es-PE"/>
        </w:rPr>
        <w:t>;</w:t>
      </w:r>
      <w:r w:rsidR="00286131" w:rsidRPr="00286131">
        <w:rPr>
          <w:rFonts w:ascii="Arial" w:eastAsia="Times New Roman" w:hAnsi="Arial" w:cs="Arial"/>
          <w:b/>
          <w:lang w:eastAsia="es-PE"/>
        </w:rPr>
        <w:t xml:space="preserve"> </w:t>
      </w:r>
      <w:r w:rsidR="00286131" w:rsidRPr="00286131">
        <w:rPr>
          <w:rFonts w:ascii="Arial" w:eastAsia="Times New Roman" w:hAnsi="Arial" w:cs="Arial"/>
          <w:smallCaps/>
          <w:lang w:eastAsia="es-PE"/>
        </w:rPr>
        <w:t>por lo que no podrá participar en el curso.</w:t>
      </w:r>
    </w:p>
    <w:p w14:paraId="6A3C70E0" w14:textId="77777777" w:rsidR="002A0D63" w:rsidRPr="003236F5" w:rsidRDefault="002A0D63" w:rsidP="002A0D63">
      <w:pPr>
        <w:pStyle w:val="Prrafodelista"/>
        <w:numPr>
          <w:ilvl w:val="0"/>
          <w:numId w:val="2"/>
        </w:numPr>
        <w:shd w:val="clear" w:color="auto" w:fill="FFFFFF"/>
        <w:spacing w:after="0" w:line="305" w:lineRule="atLeast"/>
        <w:jc w:val="both"/>
        <w:textAlignment w:val="baseline"/>
        <w:rPr>
          <w:rFonts w:ascii="Arial" w:eastAsia="Times New Roman" w:hAnsi="Arial" w:cs="Arial"/>
          <w:color w:val="FF0000"/>
          <w:lang w:eastAsia="es-PE"/>
        </w:rPr>
      </w:pPr>
      <w:r w:rsidRPr="003236F5">
        <w:rPr>
          <w:rFonts w:ascii="Arial" w:eastAsia="Times New Roman" w:hAnsi="Arial" w:cs="Arial"/>
          <w:lang w:eastAsia="es-PE"/>
        </w:rPr>
        <w:t>Se le confirmará la inscripción a través de un correo electrónico</w:t>
      </w:r>
      <w:r w:rsidRPr="003236F5">
        <w:rPr>
          <w:rFonts w:ascii="Arial" w:eastAsia="Times New Roman" w:hAnsi="Arial" w:cs="Arial"/>
          <w:color w:val="FF0000"/>
          <w:lang w:eastAsia="es-PE"/>
        </w:rPr>
        <w:t>.</w:t>
      </w:r>
    </w:p>
    <w:p w14:paraId="2BC31E5D" w14:textId="77777777" w:rsidR="002A0D63" w:rsidRPr="003236F5" w:rsidRDefault="002A0D63" w:rsidP="002A0D63">
      <w:pPr>
        <w:pStyle w:val="Prrafodelista"/>
        <w:shd w:val="clear" w:color="auto" w:fill="FFFFFF"/>
        <w:spacing w:after="0" w:line="305" w:lineRule="atLeast"/>
        <w:ind w:left="1068"/>
        <w:jc w:val="both"/>
        <w:textAlignment w:val="baseline"/>
        <w:rPr>
          <w:rFonts w:ascii="Arial" w:eastAsia="Times New Roman" w:hAnsi="Arial" w:cs="Arial"/>
          <w:color w:val="1B1B1B"/>
          <w:lang w:eastAsia="es-PE"/>
        </w:rPr>
      </w:pPr>
    </w:p>
    <w:p w14:paraId="77709938" w14:textId="77777777" w:rsidR="002A0D63" w:rsidRPr="003236F5" w:rsidRDefault="002A0D63" w:rsidP="002A0D63">
      <w:pPr>
        <w:pStyle w:val="Prrafodelista"/>
        <w:numPr>
          <w:ilvl w:val="0"/>
          <w:numId w:val="1"/>
        </w:numPr>
        <w:shd w:val="clear" w:color="auto" w:fill="FFFFFF"/>
        <w:spacing w:after="0" w:line="305" w:lineRule="atLeast"/>
        <w:jc w:val="both"/>
        <w:textAlignment w:val="baseline"/>
        <w:rPr>
          <w:rFonts w:ascii="Arial" w:eastAsia="Times New Roman" w:hAnsi="Arial" w:cs="Arial"/>
          <w:b/>
          <w:color w:val="1B1B1B"/>
          <w:lang w:eastAsia="es-PE"/>
        </w:rPr>
      </w:pPr>
      <w:r w:rsidRPr="003236F5">
        <w:rPr>
          <w:rFonts w:ascii="Arial" w:eastAsia="Times New Roman" w:hAnsi="Arial" w:cs="Arial"/>
          <w:b/>
          <w:color w:val="1B1B1B"/>
          <w:lang w:eastAsia="es-PE"/>
        </w:rPr>
        <w:t>Modalidad física:</w:t>
      </w:r>
    </w:p>
    <w:p w14:paraId="58196765" w14:textId="77777777" w:rsidR="00C1794A" w:rsidRPr="002F382E" w:rsidRDefault="002A0D63" w:rsidP="00C1794A">
      <w:pPr>
        <w:pStyle w:val="Prrafodelista"/>
        <w:shd w:val="clear" w:color="auto" w:fill="FFFFFF"/>
        <w:spacing w:after="0" w:line="305" w:lineRule="atLeast"/>
        <w:ind w:left="1080"/>
        <w:jc w:val="both"/>
        <w:textAlignment w:val="baseline"/>
        <w:rPr>
          <w:rFonts w:ascii="Arial" w:eastAsia="Times New Roman" w:hAnsi="Arial" w:cs="Arial"/>
          <w:color w:val="1B1B1B"/>
        </w:rPr>
      </w:pPr>
      <w:r w:rsidRPr="003236F5">
        <w:rPr>
          <w:rFonts w:ascii="Arial" w:eastAsia="Times New Roman" w:hAnsi="Arial" w:cs="Arial"/>
          <w:color w:val="1B1B1B"/>
          <w:lang w:eastAsia="es-PE"/>
        </w:rPr>
        <w:t xml:space="preserve">Los postulantes deberán dejar su </w:t>
      </w:r>
      <w:r w:rsidRPr="003236F5">
        <w:rPr>
          <w:rFonts w:ascii="Arial" w:eastAsia="Times New Roman" w:hAnsi="Arial" w:cs="Arial"/>
          <w:color w:val="1B1B1B"/>
        </w:rPr>
        <w:t>Currículum Vitae</w:t>
      </w:r>
      <w:r w:rsidRPr="003236F5">
        <w:rPr>
          <w:rFonts w:ascii="Arial" w:eastAsia="Times New Roman" w:hAnsi="Arial" w:cs="Arial"/>
          <w:color w:val="1B1B1B"/>
          <w:lang w:eastAsia="es-PE"/>
        </w:rPr>
        <w:t xml:space="preserve"> documentado (hoja de vida) en las Direcciones Desconcentradas de Cultura de su región, según el modelo de hoja de vida que se encuentra en el Anexo Nº 1. L</w:t>
      </w:r>
      <w:r w:rsidRPr="003236F5">
        <w:rPr>
          <w:rFonts w:ascii="Arial" w:eastAsia="Times New Roman" w:hAnsi="Arial" w:cs="Arial"/>
          <w:color w:val="1B1B1B"/>
        </w:rPr>
        <w:t xml:space="preserve">os Currículum Vitae deberán ser presentados en un sobre cerrado en el que se indique como asunto </w:t>
      </w:r>
      <w:r w:rsidR="00C1794A">
        <w:rPr>
          <w:rFonts w:ascii="Arial" w:eastAsia="Times New Roman" w:hAnsi="Arial" w:cs="Arial"/>
          <w:color w:val="1B1B1B"/>
        </w:rPr>
        <w:t>“XI</w:t>
      </w:r>
      <w:r w:rsidRPr="003236F5">
        <w:rPr>
          <w:rFonts w:ascii="Arial" w:eastAsia="Times New Roman" w:hAnsi="Arial" w:cs="Arial"/>
          <w:color w:val="1B1B1B"/>
        </w:rPr>
        <w:t xml:space="preserve"> Curso de Intérpretes</w:t>
      </w:r>
      <w:r w:rsidR="00C1794A">
        <w:rPr>
          <w:rFonts w:ascii="Arial" w:eastAsia="Times New Roman" w:hAnsi="Arial" w:cs="Arial"/>
          <w:color w:val="1B1B1B"/>
        </w:rPr>
        <w:t xml:space="preserve">”. En el sobre, además, se deberá </w:t>
      </w:r>
      <w:r w:rsidR="00C1794A" w:rsidRPr="002F382E">
        <w:rPr>
          <w:rFonts w:ascii="Arial" w:eastAsia="Times New Roman" w:hAnsi="Arial" w:cs="Arial"/>
          <w:color w:val="1B1B1B"/>
        </w:rPr>
        <w:t xml:space="preserve">consignar la siguiente dirección </w:t>
      </w:r>
      <w:r w:rsidR="00C1794A">
        <w:rPr>
          <w:rFonts w:ascii="Arial" w:eastAsia="Times New Roman" w:hAnsi="Arial" w:cs="Arial"/>
          <w:color w:val="1B1B1B"/>
        </w:rPr>
        <w:t>de destino</w:t>
      </w:r>
      <w:r w:rsidR="00C1794A" w:rsidRPr="002F382E">
        <w:rPr>
          <w:rFonts w:ascii="Arial" w:eastAsia="Times New Roman" w:hAnsi="Arial" w:cs="Arial"/>
          <w:color w:val="1B1B1B"/>
        </w:rPr>
        <w:t>:</w:t>
      </w:r>
    </w:p>
    <w:p w14:paraId="2B19E444" w14:textId="61A0734B" w:rsidR="002A0D63" w:rsidRPr="003236F5" w:rsidRDefault="002A0D63" w:rsidP="002A0D63">
      <w:pPr>
        <w:pStyle w:val="Prrafodelista"/>
        <w:shd w:val="clear" w:color="auto" w:fill="FFFFFF"/>
        <w:spacing w:after="0" w:line="305" w:lineRule="atLeast"/>
        <w:ind w:left="1080"/>
        <w:jc w:val="both"/>
        <w:textAlignment w:val="baseline"/>
        <w:rPr>
          <w:rFonts w:ascii="Arial" w:eastAsia="Times New Roman" w:hAnsi="Arial" w:cs="Arial"/>
          <w:color w:val="1B1B1B"/>
        </w:rPr>
      </w:pPr>
    </w:p>
    <w:p w14:paraId="1B56DCF9" w14:textId="395E5A50" w:rsidR="002A0D63" w:rsidRPr="003236F5" w:rsidRDefault="00473B52" w:rsidP="002A0D63">
      <w:pPr>
        <w:pStyle w:val="Prrafodelista"/>
        <w:shd w:val="clear" w:color="auto" w:fill="FFFFFF"/>
        <w:spacing w:line="305" w:lineRule="atLeast"/>
        <w:ind w:left="1080"/>
        <w:jc w:val="both"/>
        <w:textAlignment w:val="baseline"/>
        <w:rPr>
          <w:rFonts w:ascii="Arial" w:eastAsia="Times New Roman" w:hAnsi="Arial" w:cs="Arial"/>
          <w:color w:val="1B1B1B"/>
        </w:rPr>
      </w:pPr>
      <w:r w:rsidRPr="0089402E">
        <w:rPr>
          <w:rFonts w:ascii="Arial" w:eastAsia="Times New Roman" w:hAnsi="Arial" w:cs="Arial"/>
          <w:noProof/>
          <w:color w:val="1B1B1B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2707" wp14:editId="5A49880B">
                <wp:simplePos x="0" y="0"/>
                <wp:positionH relativeFrom="column">
                  <wp:posOffset>615315</wp:posOffset>
                </wp:positionH>
                <wp:positionV relativeFrom="paragraph">
                  <wp:posOffset>1905</wp:posOffset>
                </wp:positionV>
                <wp:extent cx="3905250" cy="10572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AFCBA" id="Rectángulo 1" o:spid="_x0000_s1026" style="position:absolute;margin-left:48.45pt;margin-top:.15pt;width:307.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" filled="f" strokecolor="black [3213]" strokeweight="1pt"/>
            </w:pict>
          </mc:Fallback>
        </mc:AlternateContent>
      </w:r>
      <w:r w:rsidR="002A0D63" w:rsidRPr="003236F5">
        <w:rPr>
          <w:rFonts w:ascii="Arial" w:eastAsia="Times New Roman" w:hAnsi="Arial" w:cs="Arial"/>
          <w:color w:val="1B1B1B"/>
        </w:rPr>
        <w:t>Viceministerio de Interculturalidad</w:t>
      </w:r>
    </w:p>
    <w:p w14:paraId="6E67EEE2" w14:textId="77777777" w:rsidR="002A0D63" w:rsidRPr="003236F5" w:rsidRDefault="002A0D63" w:rsidP="002A0D63">
      <w:pPr>
        <w:pStyle w:val="Prrafodelista"/>
        <w:shd w:val="clear" w:color="auto" w:fill="FFFFFF"/>
        <w:spacing w:line="305" w:lineRule="atLeast"/>
        <w:ind w:left="1080"/>
        <w:jc w:val="both"/>
        <w:textAlignment w:val="baseline"/>
        <w:rPr>
          <w:rFonts w:ascii="Arial" w:eastAsia="Times New Roman" w:hAnsi="Arial" w:cs="Arial"/>
          <w:color w:val="1B1B1B"/>
        </w:rPr>
      </w:pPr>
      <w:r w:rsidRPr="003236F5">
        <w:rPr>
          <w:rFonts w:ascii="Arial" w:eastAsia="Times New Roman" w:hAnsi="Arial" w:cs="Arial"/>
          <w:color w:val="1B1B1B"/>
        </w:rPr>
        <w:t>Dirección General de Derechos de los Pueblos Indígenas</w:t>
      </w:r>
    </w:p>
    <w:p w14:paraId="2444374F" w14:textId="77777777" w:rsidR="002A0D63" w:rsidRPr="003236F5" w:rsidRDefault="002A0D63" w:rsidP="002A0D63">
      <w:pPr>
        <w:pStyle w:val="Prrafodelista"/>
        <w:shd w:val="clear" w:color="auto" w:fill="FFFFFF"/>
        <w:spacing w:line="305" w:lineRule="atLeast"/>
        <w:ind w:left="1080"/>
        <w:jc w:val="both"/>
        <w:textAlignment w:val="baseline"/>
        <w:rPr>
          <w:rFonts w:ascii="Arial" w:eastAsia="Times New Roman" w:hAnsi="Arial" w:cs="Arial"/>
          <w:color w:val="1B1B1B"/>
        </w:rPr>
      </w:pPr>
      <w:r w:rsidRPr="003236F5">
        <w:rPr>
          <w:rFonts w:ascii="Arial" w:eastAsia="Times New Roman" w:hAnsi="Arial" w:cs="Arial"/>
          <w:color w:val="1B1B1B"/>
        </w:rPr>
        <w:t>Dirección de Lenguas Indígenas</w:t>
      </w:r>
    </w:p>
    <w:p w14:paraId="680A980E" w14:textId="77777777" w:rsidR="002A0D63" w:rsidRPr="003236F5" w:rsidRDefault="002A0D63" w:rsidP="002A0D63">
      <w:pPr>
        <w:pStyle w:val="Prrafodelista"/>
        <w:shd w:val="clear" w:color="auto" w:fill="FFFFFF"/>
        <w:spacing w:line="305" w:lineRule="atLeast"/>
        <w:ind w:left="1080"/>
        <w:jc w:val="both"/>
        <w:textAlignment w:val="baseline"/>
        <w:rPr>
          <w:rFonts w:ascii="Arial" w:eastAsia="Times New Roman" w:hAnsi="Arial" w:cs="Arial"/>
          <w:color w:val="1B1B1B"/>
        </w:rPr>
      </w:pPr>
      <w:r w:rsidRPr="003236F5">
        <w:rPr>
          <w:rFonts w:ascii="Arial" w:eastAsia="Times New Roman" w:hAnsi="Arial" w:cs="Arial"/>
          <w:color w:val="1B1B1B"/>
        </w:rPr>
        <w:t>Javier Prado Este 2465</w:t>
      </w:r>
    </w:p>
    <w:p w14:paraId="7978406D" w14:textId="77777777" w:rsidR="002A0D63" w:rsidRPr="003236F5" w:rsidRDefault="002A0D63" w:rsidP="002A0D63">
      <w:pPr>
        <w:pStyle w:val="Prrafodelista"/>
        <w:shd w:val="clear" w:color="auto" w:fill="FFFFFF"/>
        <w:spacing w:line="305" w:lineRule="atLeast"/>
        <w:ind w:left="1080"/>
        <w:jc w:val="both"/>
        <w:textAlignment w:val="baseline"/>
        <w:rPr>
          <w:rFonts w:ascii="Arial" w:eastAsia="Times New Roman" w:hAnsi="Arial" w:cs="Arial"/>
          <w:color w:val="1B1B1B"/>
        </w:rPr>
      </w:pPr>
      <w:r w:rsidRPr="003236F5">
        <w:rPr>
          <w:rFonts w:ascii="Arial" w:eastAsia="Times New Roman" w:hAnsi="Arial" w:cs="Arial"/>
          <w:color w:val="1B1B1B"/>
        </w:rPr>
        <w:t>San Borja, Lima 41</w:t>
      </w:r>
    </w:p>
    <w:p w14:paraId="154C92A8" w14:textId="77777777" w:rsidR="002A0D63" w:rsidRPr="003236F5" w:rsidRDefault="002A0D63" w:rsidP="002A0D63">
      <w:pPr>
        <w:jc w:val="both"/>
      </w:pPr>
    </w:p>
    <w:p w14:paraId="35A2F0A7" w14:textId="77777777" w:rsidR="002A0D63" w:rsidRPr="003236F5" w:rsidRDefault="002A0D63" w:rsidP="002A0D63">
      <w:pPr>
        <w:jc w:val="both"/>
      </w:pPr>
      <w:r w:rsidRPr="003236F5">
        <w:rPr>
          <w:b/>
        </w:rPr>
        <w:t>NOTA IMPORTANTE: Se recibirán los expedientes desde el 20 de agosto hasta el 13 de setiembre de 2018.</w:t>
      </w:r>
    </w:p>
    <w:p w14:paraId="46F7044B" w14:textId="77777777" w:rsidR="002A0D63" w:rsidRPr="003236F5" w:rsidRDefault="002A0D63" w:rsidP="002A0D63">
      <w:r w:rsidRPr="003236F5">
        <w:t xml:space="preserve"> </w:t>
      </w:r>
    </w:p>
    <w:p w14:paraId="0D6C91FB" w14:textId="19286696" w:rsidR="002A0D63" w:rsidRPr="003236F5" w:rsidRDefault="002A0D63" w:rsidP="002A0D63">
      <w:pPr>
        <w:jc w:val="both"/>
      </w:pPr>
      <w:r w:rsidRPr="003236F5">
        <w:t xml:space="preserve">Si tiene dudas o preguntas adicionales, sírvase escribir un correo electrónico a </w:t>
      </w:r>
      <w:hyperlink r:id="rId7" w:history="1">
        <w:r w:rsidR="00473B52" w:rsidRPr="003236F5">
          <w:rPr>
            <w:rStyle w:val="Hipervnculo"/>
          </w:rPr>
          <w:t>curso.interpretes.indigenas@gmail.com</w:t>
        </w:r>
      </w:hyperlink>
      <w:r w:rsidR="00473B52" w:rsidRPr="003236F5">
        <w:t xml:space="preserve"> </w:t>
      </w:r>
      <w:r w:rsidR="00C1794A">
        <w:t>o</w:t>
      </w:r>
      <w:r w:rsidRPr="003236F5">
        <w:t xml:space="preserve"> comunicarse con la Dirección de Lenguas Indíge</w:t>
      </w:r>
      <w:r w:rsidR="00C1794A">
        <w:t>nas del Ministerio de Cultura al</w:t>
      </w:r>
      <w:r w:rsidRPr="003236F5">
        <w:t xml:space="preserve"> </w:t>
      </w:r>
      <w:r w:rsidR="00C1794A">
        <w:t>t</w:t>
      </w:r>
      <w:r w:rsidRPr="003236F5">
        <w:t>eléfono: (01) 6189393, anexo</w:t>
      </w:r>
      <w:r w:rsidR="00C1794A">
        <w:t>s</w:t>
      </w:r>
      <w:r w:rsidRPr="003236F5">
        <w:t xml:space="preserve"> 2547</w:t>
      </w:r>
      <w:r w:rsidR="00C1794A">
        <w:t xml:space="preserve"> o 2720</w:t>
      </w:r>
      <w:r w:rsidRPr="003236F5">
        <w:t>.</w:t>
      </w:r>
    </w:p>
    <w:p w14:paraId="192910C5" w14:textId="77777777" w:rsidR="002A0D63" w:rsidRPr="00C1794A" w:rsidRDefault="002A0D63"/>
    <w:sectPr w:rsidR="002A0D63" w:rsidRPr="00C1794A" w:rsidSect="008E27FA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8DA34" w14:textId="77777777" w:rsidR="005F078D" w:rsidRDefault="005F078D" w:rsidP="00685232">
      <w:pPr>
        <w:spacing w:line="240" w:lineRule="auto"/>
      </w:pPr>
      <w:r>
        <w:separator/>
      </w:r>
    </w:p>
  </w:endnote>
  <w:endnote w:type="continuationSeparator" w:id="0">
    <w:p w14:paraId="1B6CF5FF" w14:textId="77777777" w:rsidR="005F078D" w:rsidRDefault="005F078D" w:rsidP="00685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117374"/>
      <w:docPartObj>
        <w:docPartGallery w:val="Page Numbers (Bottom of Page)"/>
        <w:docPartUnique/>
      </w:docPartObj>
    </w:sdtPr>
    <w:sdtEndPr/>
    <w:sdtContent>
      <w:p w14:paraId="0D012DB7" w14:textId="170AE395" w:rsidR="008E27FA" w:rsidRDefault="008E27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20" w:rsidRPr="002C0C20">
          <w:rPr>
            <w:noProof/>
            <w:lang w:val="es-ES"/>
          </w:rPr>
          <w:t>1</w:t>
        </w:r>
        <w:r>
          <w:fldChar w:fldCharType="end"/>
        </w:r>
      </w:p>
    </w:sdtContent>
  </w:sdt>
  <w:p w14:paraId="72C4161C" w14:textId="77777777" w:rsidR="008E27FA" w:rsidRDefault="008E27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1B28D" w14:textId="77777777" w:rsidR="005F078D" w:rsidRDefault="005F078D" w:rsidP="00685232">
      <w:pPr>
        <w:spacing w:line="240" w:lineRule="auto"/>
      </w:pPr>
      <w:r>
        <w:separator/>
      </w:r>
    </w:p>
  </w:footnote>
  <w:footnote w:type="continuationSeparator" w:id="0">
    <w:p w14:paraId="6A35FAE7" w14:textId="77777777" w:rsidR="005F078D" w:rsidRDefault="005F078D" w:rsidP="00685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BF73C" w14:textId="77777777" w:rsidR="00685232" w:rsidRDefault="00685232" w:rsidP="00685232">
    <w:pPr>
      <w:pStyle w:val="Encabezad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58987" wp14:editId="1159ECFE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4438650" cy="409575"/>
          <wp:effectExtent l="0" t="0" r="0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897CF" w14:textId="77777777" w:rsidR="00685232" w:rsidRDefault="00685232" w:rsidP="00685232">
    <w:pPr>
      <w:pStyle w:val="Encabezado"/>
      <w:rPr>
        <w:sz w:val="16"/>
        <w:szCs w:val="16"/>
      </w:rPr>
    </w:pPr>
  </w:p>
  <w:p w14:paraId="30C49FF7" w14:textId="77777777" w:rsidR="00685232" w:rsidRPr="00916485" w:rsidRDefault="00685232" w:rsidP="00685232">
    <w:pPr>
      <w:jc w:val="center"/>
      <w:rPr>
        <w:b/>
        <w:sz w:val="18"/>
      </w:rPr>
    </w:pPr>
    <w:r w:rsidRPr="00916485">
      <w:rPr>
        <w:b/>
        <w:color w:val="545454"/>
        <w:sz w:val="18"/>
        <w:shd w:val="clear" w:color="auto" w:fill="FFFFFF"/>
      </w:rPr>
      <w:t>“</w:t>
    </w:r>
    <w:r w:rsidRPr="00916485">
      <w:rPr>
        <w:rStyle w:val="nfasis"/>
        <w:b/>
        <w:bCs/>
        <w:i w:val="0"/>
        <w:iCs w:val="0"/>
        <w:color w:val="6A6A6A"/>
        <w:sz w:val="18"/>
        <w:shd w:val="clear" w:color="auto" w:fill="FFFFFF"/>
      </w:rPr>
      <w:t>Año</w:t>
    </w:r>
    <w:r w:rsidRPr="00916485">
      <w:rPr>
        <w:b/>
        <w:color w:val="545454"/>
        <w:sz w:val="18"/>
        <w:shd w:val="clear" w:color="auto" w:fill="FFFFFF"/>
      </w:rPr>
      <w:t> del Diálogo y la Reconciliación Nacional”</w:t>
    </w:r>
  </w:p>
  <w:p w14:paraId="02399050" w14:textId="77777777" w:rsidR="00685232" w:rsidRDefault="006852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3C5B"/>
    <w:multiLevelType w:val="hybridMultilevel"/>
    <w:tmpl w:val="5D8A14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6C5C"/>
    <w:multiLevelType w:val="hybridMultilevel"/>
    <w:tmpl w:val="84AC5B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8B6"/>
    <w:multiLevelType w:val="hybridMultilevel"/>
    <w:tmpl w:val="CE5C47A0"/>
    <w:lvl w:ilvl="0" w:tplc="1392060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0" w:hanging="360"/>
      </w:pPr>
    </w:lvl>
    <w:lvl w:ilvl="2" w:tplc="280A001B" w:tentative="1">
      <w:start w:val="1"/>
      <w:numFmt w:val="lowerRoman"/>
      <w:lvlText w:val="%3."/>
      <w:lvlJc w:val="right"/>
      <w:pPr>
        <w:ind w:left="2440" w:hanging="180"/>
      </w:pPr>
    </w:lvl>
    <w:lvl w:ilvl="3" w:tplc="280A000F" w:tentative="1">
      <w:start w:val="1"/>
      <w:numFmt w:val="decimal"/>
      <w:lvlText w:val="%4."/>
      <w:lvlJc w:val="left"/>
      <w:pPr>
        <w:ind w:left="3160" w:hanging="360"/>
      </w:pPr>
    </w:lvl>
    <w:lvl w:ilvl="4" w:tplc="280A0019" w:tentative="1">
      <w:start w:val="1"/>
      <w:numFmt w:val="lowerLetter"/>
      <w:lvlText w:val="%5."/>
      <w:lvlJc w:val="left"/>
      <w:pPr>
        <w:ind w:left="3880" w:hanging="360"/>
      </w:pPr>
    </w:lvl>
    <w:lvl w:ilvl="5" w:tplc="280A001B" w:tentative="1">
      <w:start w:val="1"/>
      <w:numFmt w:val="lowerRoman"/>
      <w:lvlText w:val="%6."/>
      <w:lvlJc w:val="right"/>
      <w:pPr>
        <w:ind w:left="4600" w:hanging="180"/>
      </w:pPr>
    </w:lvl>
    <w:lvl w:ilvl="6" w:tplc="280A000F" w:tentative="1">
      <w:start w:val="1"/>
      <w:numFmt w:val="decimal"/>
      <w:lvlText w:val="%7."/>
      <w:lvlJc w:val="left"/>
      <w:pPr>
        <w:ind w:left="5320" w:hanging="360"/>
      </w:pPr>
    </w:lvl>
    <w:lvl w:ilvl="7" w:tplc="280A0019" w:tentative="1">
      <w:start w:val="1"/>
      <w:numFmt w:val="lowerLetter"/>
      <w:lvlText w:val="%8."/>
      <w:lvlJc w:val="left"/>
      <w:pPr>
        <w:ind w:left="6040" w:hanging="360"/>
      </w:pPr>
    </w:lvl>
    <w:lvl w:ilvl="8" w:tplc="280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2D6A6ADD"/>
    <w:multiLevelType w:val="hybridMultilevel"/>
    <w:tmpl w:val="00787232"/>
    <w:lvl w:ilvl="0" w:tplc="7A849A7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270D30"/>
    <w:multiLevelType w:val="hybridMultilevel"/>
    <w:tmpl w:val="AD7E2AA0"/>
    <w:lvl w:ilvl="0" w:tplc="64F0DF28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473498"/>
    <w:multiLevelType w:val="hybridMultilevel"/>
    <w:tmpl w:val="7CCC1572"/>
    <w:lvl w:ilvl="0" w:tplc="3C1E9E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C4"/>
    <w:rsid w:val="000274FC"/>
    <w:rsid w:val="00092B80"/>
    <w:rsid w:val="000F6510"/>
    <w:rsid w:val="0011106D"/>
    <w:rsid w:val="00120C16"/>
    <w:rsid w:val="00247B60"/>
    <w:rsid w:val="00286131"/>
    <w:rsid w:val="002A0D63"/>
    <w:rsid w:val="002C0C20"/>
    <w:rsid w:val="003236F5"/>
    <w:rsid w:val="00363CA6"/>
    <w:rsid w:val="00473B52"/>
    <w:rsid w:val="005B278B"/>
    <w:rsid w:val="005F078D"/>
    <w:rsid w:val="006253D7"/>
    <w:rsid w:val="00672F22"/>
    <w:rsid w:val="00685232"/>
    <w:rsid w:val="006C7B79"/>
    <w:rsid w:val="007710A4"/>
    <w:rsid w:val="007B5CC4"/>
    <w:rsid w:val="0089402E"/>
    <w:rsid w:val="008D2C00"/>
    <w:rsid w:val="008E27FA"/>
    <w:rsid w:val="009132B4"/>
    <w:rsid w:val="00937BC3"/>
    <w:rsid w:val="00957628"/>
    <w:rsid w:val="009E5713"/>
    <w:rsid w:val="00C01630"/>
    <w:rsid w:val="00C1794A"/>
    <w:rsid w:val="00C9005F"/>
    <w:rsid w:val="00CA32F4"/>
    <w:rsid w:val="00D73500"/>
    <w:rsid w:val="00EA127E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4861"/>
  <w15:chartTrackingRefBased/>
  <w15:docId w15:val="{18F8D189-A01B-4A42-A3BE-A012441B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D6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0D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8523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232"/>
    <w:rPr>
      <w:rFonts w:ascii="Arial" w:eastAsia="Arial" w:hAnsi="Arial" w:cs="Arial"/>
      <w:color w:val="00000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8523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232"/>
    <w:rPr>
      <w:rFonts w:ascii="Arial" w:eastAsia="Arial" w:hAnsi="Arial" w:cs="Arial"/>
      <w:color w:val="000000"/>
      <w:lang w:eastAsia="es-PE"/>
    </w:rPr>
  </w:style>
  <w:style w:type="character" w:styleId="nfasis">
    <w:name w:val="Emphasis"/>
    <w:basedOn w:val="Fuentedeprrafopredeter"/>
    <w:uiPriority w:val="20"/>
    <w:qFormat/>
    <w:rsid w:val="00685232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47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B60"/>
    <w:rPr>
      <w:rFonts w:ascii="Arial" w:eastAsia="Arial" w:hAnsi="Arial" w:cs="Arial"/>
      <w:color w:val="000000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B60"/>
    <w:rPr>
      <w:rFonts w:ascii="Arial" w:eastAsia="Arial" w:hAnsi="Arial" w:cs="Arial"/>
      <w:b/>
      <w:bCs/>
      <w:color w:val="000000"/>
      <w:sz w:val="20"/>
      <w:szCs w:val="2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B60"/>
    <w:rPr>
      <w:rFonts w:ascii="Segoe UI" w:eastAsia="Arial" w:hAnsi="Segoe UI" w:cs="Segoe UI"/>
      <w:color w:val="000000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.interpretes.indigen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anthony bendezu bendezu</dc:creator>
  <cp:keywords/>
  <dc:description/>
  <cp:lastModifiedBy>Agustin Panizo Jansana</cp:lastModifiedBy>
  <cp:revision>2</cp:revision>
  <dcterms:created xsi:type="dcterms:W3CDTF">2018-08-17T16:58:00Z</dcterms:created>
  <dcterms:modified xsi:type="dcterms:W3CDTF">2018-08-17T16:58:00Z</dcterms:modified>
</cp:coreProperties>
</file>